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Q. How can we creatively and critically adapt our GCE programme during Covid 19?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i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6"/>
          <w:szCs w:val="26"/>
          <w:rtl w:val="0"/>
        </w:rPr>
        <w:t xml:space="preserve">Input your brainstorm ideas in the different categories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 categories: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Classroom-no technology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Limited online-one computer in classroom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All students have access to technology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Discussion and open ended questions students can use technology for sources,resources such as mentimeter allow discussions when the student voice is limited due to masks at the moment.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Access to speaker who may use technology-due to small numbers and to allow zoom interaction with outside speakers.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Independent learning and research while still using group methodologies.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Allows interaction with sister schools in other parts of the world.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Using mentimeter to gather student answers quickly.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Students are able to research information independently.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Kahoots are popular. Google classroom as a medium for teaching. Schoology as well.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Any other?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